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8E4" w:rsidRDefault="009A68E4">
      <w:pPr>
        <w:pStyle w:val="Corpsdetexte"/>
        <w:ind w:left="0"/>
        <w:rPr>
          <w:rFonts w:ascii="Times New Roman"/>
          <w:sz w:val="20"/>
        </w:rPr>
      </w:pPr>
    </w:p>
    <w:p w:rsidR="009A68E4" w:rsidRDefault="009A68E4">
      <w:pPr>
        <w:pStyle w:val="Corpsdetexte"/>
        <w:spacing w:before="8"/>
        <w:ind w:left="0"/>
        <w:rPr>
          <w:rFonts w:ascii="Times New Roman"/>
          <w:sz w:val="27"/>
        </w:rPr>
      </w:pPr>
    </w:p>
    <w:p w:rsidR="009A68E4" w:rsidRDefault="00A97AF9">
      <w:pPr>
        <w:pStyle w:val="Corpsdetexte"/>
        <w:spacing w:before="100"/>
        <w:ind w:left="213"/>
      </w:pPr>
      <w:r>
        <w:rPr>
          <w:color w:val="595959"/>
        </w:rPr>
        <w:t>DESENVOLVIMENTO DE CAPACIDADES DE ELABORAÇÃO DE LEIS E POLÍTICAS SOBRE DESLOCAÇÕES INTERNAS</w:t>
      </w:r>
    </w:p>
    <w:p w:rsidR="009A68E4" w:rsidRDefault="009A68E4">
      <w:pPr>
        <w:pStyle w:val="Corpsdetexte"/>
        <w:spacing w:before="1"/>
        <w:ind w:left="0"/>
        <w:rPr>
          <w:sz w:val="39"/>
        </w:rPr>
      </w:pPr>
    </w:p>
    <w:p w:rsidR="009A68E4" w:rsidRDefault="00A97AF9" w:rsidP="00A97AF9">
      <w:pPr>
        <w:pStyle w:val="Titre"/>
      </w:pPr>
      <w:r>
        <w:rPr>
          <w:color w:val="5B9BD5"/>
        </w:rPr>
        <w:t>SESSÃO 4: ORGANIZAR UM PROCESSO PARTICIPATIVO</w:t>
      </w:r>
    </w:p>
    <w:p w:rsidR="009A68E4" w:rsidRDefault="009A68E4">
      <w:pPr>
        <w:pStyle w:val="Corpsdetexte"/>
        <w:ind w:left="0"/>
        <w:rPr>
          <w:sz w:val="20"/>
        </w:rPr>
      </w:pPr>
    </w:p>
    <w:p w:rsidR="009A68E4" w:rsidRDefault="009A68E4">
      <w:pPr>
        <w:pStyle w:val="Corpsdetexte"/>
        <w:ind w:left="0"/>
        <w:rPr>
          <w:sz w:val="20"/>
        </w:rPr>
      </w:pPr>
    </w:p>
    <w:p w:rsidR="009A68E4" w:rsidRDefault="009A68E4">
      <w:pPr>
        <w:pStyle w:val="Corpsdetexte"/>
        <w:ind w:left="0"/>
        <w:rPr>
          <w:sz w:val="20"/>
        </w:rPr>
      </w:pPr>
    </w:p>
    <w:p w:rsidR="009A68E4" w:rsidRDefault="009A68E4">
      <w:pPr>
        <w:pStyle w:val="Corpsdetexte"/>
        <w:ind w:left="0"/>
        <w:rPr>
          <w:sz w:val="20"/>
        </w:rPr>
      </w:pPr>
    </w:p>
    <w:p w:rsidR="009A68E4" w:rsidRDefault="009A68E4">
      <w:pPr>
        <w:pStyle w:val="Corpsdetexte"/>
        <w:spacing w:before="3"/>
        <w:ind w:left="0"/>
        <w:rPr>
          <w:sz w:val="23"/>
        </w:rPr>
      </w:pPr>
    </w:p>
    <w:p w:rsidR="009A68E4" w:rsidRDefault="00B573B3">
      <w:pPr>
        <w:pStyle w:val="Corpsdetexte"/>
        <w:spacing w:before="100"/>
        <w:ind w:left="2335" w:right="98"/>
        <w:jc w:val="both"/>
      </w:pPr>
      <w:r>
        <w:pict>
          <v:group id="_x0000_s1033" style="position:absolute;left:0;text-align:left;margin-left:65.4pt;margin-top:-4.95pt;width:106.1pt;height:465.4pt;z-index:15729152;mso-position-horizontal-relative:page" coordorigin="1308,-99" coordsize="2122,9308">
            <v:rect id="_x0000_s1035" style="position:absolute;left:1308;top:-99;width:2122;height:9308" fillcolor="#deeaf6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308;top:-99;width:2122;height:9308" filled="f" stroked="f">
              <v:textbox inset="0,0,0,0">
                <w:txbxContent>
                  <w:p w:rsidR="009A68E4" w:rsidRDefault="009A68E4">
                    <w:pPr>
                      <w:spacing w:before="1"/>
                    </w:pPr>
                  </w:p>
                  <w:p w:rsidR="009A68E4" w:rsidRDefault="00A97AF9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RESUMO</w:t>
                    </w:r>
                  </w:p>
                </w:txbxContent>
              </v:textbox>
            </v:shape>
            <w10:wrap anchorx="page"/>
          </v:group>
        </w:pict>
      </w:r>
      <w:r w:rsidR="00A97AF9">
        <w:t>Esta sessão aborda a iniciação e organização de um processo de elaboração de leis ou políticas, salientando a natureza participativa do desenvolvimento de um instrumento nacional sobre deslocações internas. Esse processo é um ato de soberania e, como tal, apenas as autoridades nacionais podem tomar a decisão de iniciá-lo.</w:t>
      </w:r>
    </w:p>
    <w:p w:rsidR="009A68E4" w:rsidRDefault="00A97AF9">
      <w:pPr>
        <w:pStyle w:val="Corpsdetexte"/>
        <w:spacing w:before="196"/>
        <w:ind w:left="2335" w:right="98"/>
        <w:jc w:val="both"/>
      </w:pPr>
      <w:r>
        <w:t>Porém, é também importante que a decisão seja publicitada e os intervenientes sejam convocados desde o início do processo para elaborar um instrumento que responde de forma abrangente às necessidades das PDI e de outras pessoas afetadas pela deslocação. Porém, é também importante que os convidados a participar no processo se centrem nos aspetos técnicos da elaboração de leis e políticas.</w:t>
      </w:r>
    </w:p>
    <w:p w:rsidR="009A68E4" w:rsidRDefault="00A97AF9">
      <w:pPr>
        <w:pStyle w:val="Corpsdetexte"/>
        <w:spacing w:before="201"/>
        <w:ind w:left="2335" w:right="98"/>
        <w:jc w:val="both"/>
      </w:pPr>
      <w:r>
        <w:t>Após debater os princípios essenciais que orientarão a iniciativa, deve ser feita uma reflexão adicional sobre como torná-la tão consultiva quanto possível. Para que uma lei ou política seja realmente eficaz é essencial mapear os intervenientes que podem contribuir de forma significativa para a sua formulação, adoção e implementação. Não será possível envolver todos os intervenientes igualmente em todas as etapas, mas a nomeação de uma agência governamental para assumir o comando e o estabelecimento de mecanismos de apoio e canais de comunicação eficazes servirão tanto para informar sobre o processo, como para assegurar a adesão.</w:t>
      </w:r>
    </w:p>
    <w:p w:rsidR="009A68E4" w:rsidRDefault="00B573B3">
      <w:pPr>
        <w:pStyle w:val="Corpsdetexte"/>
        <w:spacing w:before="5"/>
        <w:ind w:left="0"/>
        <w:rPr>
          <w:sz w:val="13"/>
        </w:rPr>
      </w:pPr>
      <w:r>
        <w:pict>
          <v:group id="_x0000_s1030" style="position:absolute;margin-left:229.8pt;margin-top:10.15pt;width:227.05pt;height:132.5pt;z-index:-15728640;mso-wrap-distance-left:0;mso-wrap-distance-right:0;mso-position-horizontal-relative:page" coordorigin="4596,203" coordsize="4541,2650">
            <v:shape id="_x0000_s1032" style="position:absolute;left:4596;top:202;width:4541;height:2650" coordorigin="4596,203" coordsize="4541,2650" path="m9137,203r-4531,l4596,203r,9l4596,2852r10,l4606,212r4531,l9137,203xe" fillcolor="#5b9bd5" stroked="f">
              <v:path arrowok="t"/>
            </v:shape>
            <v:shape id="_x0000_s1031" type="#_x0000_t202" style="position:absolute;left:4596;top:202;width:4541;height:2650" filled="f" stroked="f">
              <v:textbox inset="0,0,0,0">
                <w:txbxContent>
                  <w:p w:rsidR="009A68E4" w:rsidRDefault="009A68E4">
                    <w:pPr>
                      <w:spacing w:before="9"/>
                      <w:rPr>
                        <w:sz w:val="17"/>
                      </w:rPr>
                    </w:pPr>
                  </w:p>
                  <w:p w:rsidR="009A68E4" w:rsidRDefault="00A97AF9">
                    <w:pPr>
                      <w:spacing w:before="1" w:line="252" w:lineRule="auto"/>
                      <w:ind w:left="235" w:right="26"/>
                      <w:jc w:val="both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color w:val="5B9BD5"/>
                        <w:sz w:val="19"/>
                      </w:rPr>
                      <w:t xml:space="preserve">A </w:t>
                    </w:r>
                    <w:r>
                      <w:rPr>
                        <w:i/>
                        <w:color w:val="5B9BD5"/>
                        <w:sz w:val="19"/>
                      </w:rPr>
                      <w:t>sociedade civil queniana desempenhou um papel fundamental no desenvolvimento da política nacional do país sobre as PDI. O contributo das OSC, e sobretudo dos membros do grupo de trabalho de proteção sobre as deslocações internas (GTPDI) foi significativo. Estes recolheram e analisaram informação, promoveram consultas com as PDI e sensibilizaram para o processo junto dos intervenientes. Reuniram fóruns para chegar a um consenso sobre questões como se deve ser desenvolvido um quadro específico para as PDI ou incorporar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A68E4" w:rsidRDefault="009A68E4">
      <w:pPr>
        <w:rPr>
          <w:sz w:val="13"/>
        </w:rPr>
        <w:sectPr w:rsidR="009A68E4">
          <w:headerReference w:type="default" r:id="rId7"/>
          <w:type w:val="continuous"/>
          <w:pgSz w:w="11900" w:h="16820"/>
          <w:pgMar w:top="1980" w:right="1540" w:bottom="280" w:left="1200" w:header="906" w:footer="708" w:gutter="0"/>
          <w:cols w:space="708"/>
        </w:sectPr>
      </w:pPr>
    </w:p>
    <w:p w:rsidR="009A68E4" w:rsidRDefault="009A68E4">
      <w:pPr>
        <w:pStyle w:val="Corpsdetexte"/>
        <w:spacing w:before="8"/>
        <w:ind w:left="0"/>
        <w:rPr>
          <w:sz w:val="28"/>
        </w:rPr>
      </w:pPr>
    </w:p>
    <w:p w:rsidR="009A68E4" w:rsidRDefault="00B573B3">
      <w:pPr>
        <w:spacing w:before="107" w:line="252" w:lineRule="auto"/>
        <w:ind w:left="3631" w:right="1251"/>
        <w:jc w:val="both"/>
        <w:rPr>
          <w:i/>
          <w:sz w:val="19"/>
        </w:rPr>
      </w:pPr>
      <w:r>
        <w:pict>
          <v:group id="_x0000_s1027" style="position:absolute;left:0;text-align:left;margin-left:65.4pt;margin-top:5.05pt;width:106.1pt;height:612pt;z-index:15729664;mso-position-horizontal-relative:page" coordorigin="1308,101" coordsize="2122,12240">
            <v:shape id="_x0000_s1029" style="position:absolute;left:1308;top:100;width:2122;height:12240" coordorigin="1308,101" coordsize="2122,12240" path="m3430,101r-2122,l1308,2659r,3091l1308,9278r,2237l1308,12341r2122,l3430,11515r,-2237l3430,5750r,-3091l3430,101xe" fillcolor="#deeaf6" stroked="f">
              <v:path arrowok="t"/>
            </v:shape>
            <v:shape id="_x0000_s1028" type="#_x0000_t202" style="position:absolute;left:1308;top:100;width:2122;height:12240" filled="f" stroked="f">
              <v:textbox style="mso-next-textbox:#_x0000_s1028" inset="0,0,0,0">
                <w:txbxContent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spacing w:before="9"/>
                      <w:rPr>
                        <w:sz w:val="23"/>
                      </w:rPr>
                    </w:pPr>
                    <w:bookmarkStart w:id="0" w:name="_GoBack"/>
                    <w:bookmarkEnd w:id="0"/>
                  </w:p>
                  <w:p w:rsidR="009A68E4" w:rsidRDefault="00A97AF9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OBJETIVOS</w:t>
                    </w: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spacing w:before="2"/>
                      <w:rPr>
                        <w:sz w:val="24"/>
                      </w:rPr>
                    </w:pPr>
                  </w:p>
                  <w:p w:rsidR="009A68E4" w:rsidRDefault="00A97AF9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PRINCIPAIS MENSAGENS</w:t>
                    </w: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34"/>
                      </w:rPr>
                    </w:pPr>
                  </w:p>
                  <w:p w:rsidR="009A68E4" w:rsidRDefault="00A97AF9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DOCUMENTAÇÃO</w:t>
                    </w: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rPr>
                        <w:sz w:val="26"/>
                      </w:rPr>
                    </w:pPr>
                  </w:p>
                  <w:p w:rsidR="009A68E4" w:rsidRDefault="009A68E4">
                    <w:pPr>
                      <w:spacing w:before="2"/>
                      <w:rPr>
                        <w:sz w:val="32"/>
                      </w:rPr>
                    </w:pPr>
                  </w:p>
                  <w:p w:rsidR="009A68E4" w:rsidRDefault="00A97AF9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MATERIAL DE APOIO: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026" style="position:absolute;left:0;text-align:left;margin-left:229.8pt;margin-top:5.05pt;width:.5pt;height:119.8pt;z-index:15730176;mso-position-horizontal-relative:page" coordorigin="4596,101" coordsize="10,2396" path="m4606,101r-10,l4596,346r,240l4596,2496r10,l4606,346r,-245xe" fillcolor="#5b9bd5" stroked="f">
            <v:path arrowok="t"/>
            <w10:wrap anchorx="page"/>
          </v:shape>
        </w:pict>
      </w:r>
      <w:r w:rsidR="00A97AF9">
        <w:rPr>
          <w:i/>
          <w:color w:val="5B9BD5"/>
          <w:sz w:val="19"/>
        </w:rPr>
        <w:t>mecanismos de proteção nos quadros existentes, e sobre as normas que devem ser incluídas na política.</w:t>
      </w:r>
    </w:p>
    <w:p w:rsidR="009A68E4" w:rsidRDefault="00A97AF9">
      <w:pPr>
        <w:spacing w:before="200" w:line="252" w:lineRule="auto"/>
        <w:ind w:left="3631" w:right="1249"/>
        <w:jc w:val="both"/>
        <w:rPr>
          <w:i/>
          <w:sz w:val="19"/>
        </w:rPr>
      </w:pPr>
      <w:r>
        <w:rPr>
          <w:i/>
          <w:color w:val="5B9BD5"/>
          <w:sz w:val="19"/>
        </w:rPr>
        <w:t>À medida que o processo avançou, exerceram pressão sobre as autoridades e deram apoio logístico e técnico. O GTPDI também trabalhou de perto com o comité restrito parlamentar de 2010 para a recolocação das PDI, para coordenar com o desenvolvimento paralelo de uma lei sobre deslocações internas.</w:t>
      </w:r>
    </w:p>
    <w:p w:rsidR="009A68E4" w:rsidRDefault="009A68E4">
      <w:pPr>
        <w:pStyle w:val="Corpsdetexte"/>
        <w:spacing w:before="2"/>
        <w:ind w:left="0"/>
        <w:rPr>
          <w:i/>
          <w:sz w:val="21"/>
        </w:rPr>
      </w:pPr>
    </w:p>
    <w:p w:rsidR="009A68E4" w:rsidRDefault="00A97AF9">
      <w:pPr>
        <w:pStyle w:val="Corpsdetexte"/>
        <w:spacing w:before="100"/>
        <w:ind w:left="2335"/>
      </w:pPr>
      <w:r>
        <w:t>No final da sessão, os participantes deverão ser capazes de: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rPr>
          <w:sz w:val="24"/>
        </w:rPr>
      </w:pPr>
      <w:r>
        <w:rPr>
          <w:sz w:val="24"/>
        </w:rPr>
        <w:t>Identificar os princípios fundamentais que orientam o processo de elaboração de leis e políticas.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0" w:hanging="358"/>
        <w:rPr>
          <w:sz w:val="24"/>
        </w:rPr>
      </w:pPr>
      <w:r>
        <w:rPr>
          <w:sz w:val="24"/>
        </w:rPr>
        <w:t>Compreender como realizar um processo consultivo.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0" w:hanging="358"/>
        <w:rPr>
          <w:sz w:val="24"/>
        </w:rPr>
      </w:pPr>
      <w:r>
        <w:rPr>
          <w:sz w:val="24"/>
        </w:rPr>
        <w:t>Identificar os intervenientes.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1"/>
        </w:tabs>
        <w:spacing w:before="115" w:line="259" w:lineRule="auto"/>
        <w:jc w:val="both"/>
        <w:rPr>
          <w:sz w:val="24"/>
        </w:rPr>
      </w:pPr>
      <w:r>
        <w:rPr>
          <w:sz w:val="24"/>
        </w:rPr>
        <w:t>Formular uma estratégia para assegurar a sua inclusão. Atribuir papéis e criar organismos para apoiar a agência governamental responsável pelo processo de elaboração.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1"/>
        </w:tabs>
        <w:spacing w:before="121" w:line="259" w:lineRule="auto"/>
        <w:jc w:val="both"/>
        <w:rPr>
          <w:sz w:val="24"/>
        </w:rPr>
      </w:pPr>
      <w:r>
        <w:rPr>
          <w:sz w:val="24"/>
        </w:rPr>
        <w:t>Um organismo governamental deve ser encarregado do processo para atuar como convocador e coordenador de todas as atividades.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1"/>
        </w:tabs>
        <w:spacing w:before="121" w:line="259" w:lineRule="auto"/>
        <w:jc w:val="both"/>
        <w:rPr>
          <w:sz w:val="19"/>
        </w:rPr>
      </w:pPr>
      <w:r>
        <w:t>As entidades nacionais governamentais e não governamentais, regionais e internacionais e outros intervenientes devem ser identificados e envolvidos no processo desde o início.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1"/>
        </w:tabs>
        <w:spacing w:before="121"/>
        <w:jc w:val="both"/>
        <w:rPr>
          <w:sz w:val="24"/>
        </w:rPr>
      </w:pPr>
      <w:r>
        <w:t>Pode também ser criado um comité de direção para apoiar a entidade principal e um comité de redação.</w:t>
      </w:r>
      <w:r>
        <w:rPr>
          <w:sz w:val="24"/>
        </w:rPr>
        <w:t xml:space="preserve"> Um organismo pode desempenhar ambas as funções.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1"/>
        </w:tabs>
        <w:spacing w:before="119" w:line="244" w:lineRule="auto"/>
        <w:jc w:val="both"/>
        <w:rPr>
          <w:sz w:val="24"/>
        </w:rPr>
      </w:pPr>
      <w:r>
        <w:rPr>
          <w:sz w:val="24"/>
        </w:rPr>
        <w:t>As PDI e outros grupos de pessoas afetadas pela deslocação devem ser envolvidos no processo.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113"/>
        <w:rPr>
          <w:sz w:val="24"/>
        </w:rPr>
      </w:pPr>
      <w:r>
        <w:rPr>
          <w:sz w:val="24"/>
        </w:rPr>
        <w:t>Instrumentos Nacionais sobre as Deslocações Internas: Guia para o seu Desenvolvimento, IDMC-NRC/Brookings-LSE, agosto de 2013.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rPr>
          <w:sz w:val="24"/>
        </w:rPr>
      </w:pPr>
      <w:r>
        <w:rPr>
          <w:sz w:val="24"/>
        </w:rPr>
        <w:t>Vozes e perspetivas das PDI: diálogo nacional do Iémen, ACNUR, março de 2013.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rPr>
          <w:sz w:val="24"/>
        </w:rPr>
      </w:pPr>
      <w:r>
        <w:rPr>
          <w:sz w:val="24"/>
        </w:rPr>
        <w:t>Uma Política de PDIs para o Afeganistão: do Projeto à Realidade. Análise da Migração Forçada, maio de 2014.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spacing w:before="239"/>
        <w:ind w:right="0" w:hanging="358"/>
        <w:rPr>
          <w:sz w:val="24"/>
        </w:rPr>
      </w:pPr>
      <w:r>
        <w:rPr>
          <w:sz w:val="24"/>
        </w:rPr>
        <w:t>Investir num processo participativo.</w:t>
      </w:r>
    </w:p>
    <w:p w:rsidR="009A68E4" w:rsidRDefault="00A97AF9">
      <w:pPr>
        <w:pStyle w:val="Paragraphedeliste"/>
        <w:numPr>
          <w:ilvl w:val="0"/>
          <w:numId w:val="1"/>
        </w:numPr>
        <w:tabs>
          <w:tab w:val="left" w:pos="2760"/>
          <w:tab w:val="left" w:pos="2761"/>
        </w:tabs>
        <w:ind w:right="0" w:hanging="358"/>
        <w:rPr>
          <w:sz w:val="24"/>
        </w:rPr>
      </w:pPr>
      <w:r>
        <w:rPr>
          <w:sz w:val="24"/>
        </w:rPr>
        <w:t>Participação na Convenção de Kampala.</w:t>
      </w:r>
    </w:p>
    <w:sectPr w:rsidR="009A68E4">
      <w:pgSz w:w="11900" w:h="16820"/>
      <w:pgMar w:top="1980" w:right="1540" w:bottom="280" w:left="1200" w:header="90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F21" w:rsidRDefault="00A97AF9">
      <w:r>
        <w:separator/>
      </w:r>
    </w:p>
  </w:endnote>
  <w:endnote w:type="continuationSeparator" w:id="0">
    <w:p w:rsidR="00E07F21" w:rsidRDefault="00A9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F21" w:rsidRDefault="00A97AF9">
      <w:r>
        <w:separator/>
      </w:r>
    </w:p>
  </w:footnote>
  <w:footnote w:type="continuationSeparator" w:id="0">
    <w:p w:rsidR="00E07F21" w:rsidRDefault="00A9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8E4" w:rsidRDefault="00A97AF9">
    <w:pPr>
      <w:pStyle w:val="Corpsdetexte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519744" behindDoc="1" locked="0" layoutInCell="1" allowOverlap="1">
          <wp:simplePos x="0" y="0"/>
          <wp:positionH relativeFrom="page">
            <wp:posOffset>2316223</wp:posOffset>
          </wp:positionH>
          <wp:positionV relativeFrom="page">
            <wp:posOffset>575054</wp:posOffset>
          </wp:positionV>
          <wp:extent cx="660400" cy="68264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400" cy="6826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20256" behindDoc="1" locked="0" layoutInCell="1" allowOverlap="1">
          <wp:simplePos x="0" y="0"/>
          <wp:positionH relativeFrom="page">
            <wp:posOffset>5867144</wp:posOffset>
          </wp:positionH>
          <wp:positionV relativeFrom="page">
            <wp:posOffset>587754</wp:posOffset>
          </wp:positionV>
          <wp:extent cx="685800" cy="66040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85800" cy="66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20768" behindDoc="1" locked="0" layoutInCell="1" allowOverlap="1">
          <wp:simplePos x="0" y="0"/>
          <wp:positionH relativeFrom="page">
            <wp:posOffset>898272</wp:posOffset>
          </wp:positionH>
          <wp:positionV relativeFrom="page">
            <wp:posOffset>590929</wp:posOffset>
          </wp:positionV>
          <wp:extent cx="1154544" cy="657225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154544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21280" behindDoc="1" locked="0" layoutInCell="1" allowOverlap="1">
          <wp:simplePos x="0" y="0"/>
          <wp:positionH relativeFrom="page">
            <wp:posOffset>4506339</wp:posOffset>
          </wp:positionH>
          <wp:positionV relativeFrom="page">
            <wp:posOffset>778254</wp:posOffset>
          </wp:positionV>
          <wp:extent cx="1104900" cy="279400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104900" cy="279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21792" behindDoc="1" locked="0" layoutInCell="1" allowOverlap="1">
          <wp:simplePos x="0" y="0"/>
          <wp:positionH relativeFrom="page">
            <wp:posOffset>3227666</wp:posOffset>
          </wp:positionH>
          <wp:positionV relativeFrom="page">
            <wp:posOffset>802095</wp:posOffset>
          </wp:positionV>
          <wp:extent cx="1140027" cy="242859"/>
          <wp:effectExtent l="0" t="0" r="0" b="0"/>
          <wp:wrapNone/>
          <wp:docPr id="9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140027" cy="2428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073AE"/>
    <w:multiLevelType w:val="hybridMultilevel"/>
    <w:tmpl w:val="5D108550"/>
    <w:lvl w:ilvl="0" w:tplc="C2D4FB68">
      <w:numFmt w:val="bullet"/>
      <w:lvlText w:val=""/>
      <w:lvlJc w:val="left"/>
      <w:pPr>
        <w:ind w:left="2760" w:hanging="357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1" w:tplc="5B6CD8A6">
      <w:numFmt w:val="bullet"/>
      <w:lvlText w:val="•"/>
      <w:lvlJc w:val="left"/>
      <w:pPr>
        <w:ind w:left="3400" w:hanging="357"/>
      </w:pPr>
      <w:rPr>
        <w:rFonts w:hint="default"/>
      </w:rPr>
    </w:lvl>
    <w:lvl w:ilvl="2" w:tplc="D034D26A">
      <w:numFmt w:val="bullet"/>
      <w:lvlText w:val="•"/>
      <w:lvlJc w:val="left"/>
      <w:pPr>
        <w:ind w:left="4040" w:hanging="357"/>
      </w:pPr>
      <w:rPr>
        <w:rFonts w:hint="default"/>
      </w:rPr>
    </w:lvl>
    <w:lvl w:ilvl="3" w:tplc="AA449D1C">
      <w:numFmt w:val="bullet"/>
      <w:lvlText w:val="•"/>
      <w:lvlJc w:val="left"/>
      <w:pPr>
        <w:ind w:left="4680" w:hanging="357"/>
      </w:pPr>
      <w:rPr>
        <w:rFonts w:hint="default"/>
      </w:rPr>
    </w:lvl>
    <w:lvl w:ilvl="4" w:tplc="AE102688">
      <w:numFmt w:val="bullet"/>
      <w:lvlText w:val="•"/>
      <w:lvlJc w:val="left"/>
      <w:pPr>
        <w:ind w:left="5320" w:hanging="357"/>
      </w:pPr>
      <w:rPr>
        <w:rFonts w:hint="default"/>
      </w:rPr>
    </w:lvl>
    <w:lvl w:ilvl="5" w:tplc="BB0652EC">
      <w:numFmt w:val="bullet"/>
      <w:lvlText w:val="•"/>
      <w:lvlJc w:val="left"/>
      <w:pPr>
        <w:ind w:left="5960" w:hanging="357"/>
      </w:pPr>
      <w:rPr>
        <w:rFonts w:hint="default"/>
      </w:rPr>
    </w:lvl>
    <w:lvl w:ilvl="6" w:tplc="7B1A0A06">
      <w:numFmt w:val="bullet"/>
      <w:lvlText w:val="•"/>
      <w:lvlJc w:val="left"/>
      <w:pPr>
        <w:ind w:left="6600" w:hanging="357"/>
      </w:pPr>
      <w:rPr>
        <w:rFonts w:hint="default"/>
      </w:rPr>
    </w:lvl>
    <w:lvl w:ilvl="7" w:tplc="E33616D0">
      <w:numFmt w:val="bullet"/>
      <w:lvlText w:val="•"/>
      <w:lvlJc w:val="left"/>
      <w:pPr>
        <w:ind w:left="7240" w:hanging="357"/>
      </w:pPr>
      <w:rPr>
        <w:rFonts w:hint="default"/>
      </w:rPr>
    </w:lvl>
    <w:lvl w:ilvl="8" w:tplc="8E8C3DD8">
      <w:numFmt w:val="bullet"/>
      <w:lvlText w:val="•"/>
      <w:lvlJc w:val="left"/>
      <w:pPr>
        <w:ind w:left="7880" w:hanging="3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8E4"/>
    <w:rsid w:val="009A68E4"/>
    <w:rsid w:val="00A97AF9"/>
    <w:rsid w:val="00B573B3"/>
    <w:rsid w:val="00E0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479F5002-ABDB-49C1-8ADA-B4B93244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2760"/>
    </w:pPr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1"/>
      <w:ind w:left="21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20"/>
      <w:ind w:left="2760" w:right="98" w:hanging="35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2021-01-20T14:03:00Z</dcterms:created>
  <dcterms:modified xsi:type="dcterms:W3CDTF">2021-01-20T14:03:00Z</dcterms:modified>
</cp:coreProperties>
</file>